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36817183"/>
      <w:bookmarkStart w:id="1" w:name="_Toc29811631"/>
      <w:bookmarkStart w:id="2" w:name="_Toc74663170"/>
      <w:bookmarkStart w:id="3" w:name="_Toc37260100"/>
      <w:bookmarkStart w:id="4" w:name="_Toc67916572"/>
      <w:bookmarkStart w:id="5" w:name="_Toc53178580"/>
      <w:bookmarkStart w:id="6" w:name="_Toc45893402"/>
      <w:bookmarkStart w:id="7" w:name="_Toc37260099"/>
      <w:bookmarkStart w:id="8" w:name="_Toc21127426"/>
      <w:bookmarkStart w:id="9" w:name="_Toc53178129"/>
      <w:bookmarkStart w:id="10" w:name="_Toc61178806"/>
      <w:bookmarkStart w:id="11" w:name="_Toc37267487"/>
      <w:bookmarkStart w:id="12" w:name="_Toc37267488"/>
      <w:bookmarkStart w:id="13" w:name="_Toc36817184"/>
      <w:bookmarkStart w:id="14" w:name="_Toc21127425"/>
      <w:bookmarkStart w:id="15" w:name="_Toc44712089"/>
      <w:bookmarkStart w:id="16" w:name="_Toc90422557"/>
      <w:bookmarkStart w:id="17" w:name="_Toc61179276"/>
      <w:bookmarkStart w:id="18" w:name="_Toc82621710"/>
      <w:bookmarkStart w:id="19" w:name="_Toc2981163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402227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1st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2151</w:t>
            </w:r>
            <w:bookmarkStart w:id="38" w:name="_GoBack"/>
            <w:bookmarkEnd w:id="38"/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24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default" w:eastAsia="宋体"/>
                <w:lang w:val="en-US" w:eastAsia="zh-CN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 xml:space="preserve">Core) </w:t>
            </w:r>
            <w:r>
              <w:rPr>
                <w:rFonts w:hint="eastAsia"/>
                <w:lang w:val="en-US" w:eastAsia="zh-CN"/>
              </w:rPr>
              <w:t>CR to TS38.101-1: Correction of band number in uplink configuration for reference sensitivity table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NR_newRAT-</w:t>
            </w:r>
            <w:r>
              <w:rPr>
                <w:rFonts w:hint="eastAsia" w:eastAsia="宋体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The band number in uplink configuration for reference sensitivity table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band number B20 to n20 in note 2 of Table 7.3.2-3.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note 2 in </w:t>
            </w:r>
            <w:r>
              <w:rPr>
                <w:rFonts w:hint="default"/>
                <w:lang w:val="en-US"/>
              </w:rPr>
              <w:t>Table 7.6.3-2 stays wrong, and confusion may be existed.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7.3.2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</w:pPr>
      <w:bookmarkStart w:id="20" w:name="_Toc76509485"/>
      <w:bookmarkStart w:id="21" w:name="_Toc37251482"/>
      <w:bookmarkStart w:id="22" w:name="_Toc84405331"/>
      <w:bookmarkStart w:id="23" w:name="_Toc61373089"/>
      <w:bookmarkStart w:id="24" w:name="_Toc45888389"/>
      <w:bookmarkStart w:id="25" w:name="_Toc21344430"/>
      <w:bookmarkStart w:id="26" w:name="_Toc29802966"/>
      <w:bookmarkStart w:id="27" w:name="_Toc29801917"/>
      <w:bookmarkStart w:id="28" w:name="_Toc36107708"/>
      <w:bookmarkStart w:id="29" w:name="_Toc61367706"/>
      <w:bookmarkStart w:id="30" w:name="_Toc69084452"/>
      <w:bookmarkStart w:id="31" w:name="_Toc76718475"/>
      <w:bookmarkStart w:id="32" w:name="_Toc84413940"/>
      <w:bookmarkStart w:id="33" w:name="_Toc83580822"/>
      <w:bookmarkStart w:id="34" w:name="_Toc29802341"/>
      <w:bookmarkStart w:id="35" w:name="_Toc75467463"/>
      <w:bookmarkStart w:id="36" w:name="_Toc45888988"/>
      <w:bookmarkStart w:id="37" w:name="_Toc68231039"/>
      <w:r>
        <w:t>7.3.2</w:t>
      </w:r>
      <w:r>
        <w:tab/>
      </w:r>
      <w:r>
        <w:t>Reference sensitivity power level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r>
        <w:rPr>
          <w:color w:val="0070C0"/>
        </w:rPr>
        <w:t xml:space="preserve">&lt;&lt; Unchanged text skipped&gt;&gt;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95"/>
      </w:pPr>
      <w:r>
        <w:t>Table 7.3.2-3: Uplink configuration for reference sensitivity</w:t>
      </w:r>
    </w:p>
    <w:tbl>
      <w:tblPr>
        <w:tblStyle w:val="62"/>
        <w:tblW w:w="51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601"/>
        <w:gridCol w:w="599"/>
        <w:gridCol w:w="599"/>
        <w:gridCol w:w="599"/>
        <w:gridCol w:w="734"/>
        <w:gridCol w:w="734"/>
        <w:gridCol w:w="599"/>
        <w:gridCol w:w="630"/>
        <w:gridCol w:w="630"/>
        <w:gridCol w:w="599"/>
        <w:gridCol w:w="734"/>
        <w:gridCol w:w="600"/>
        <w:gridCol w:w="600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  <w:tblHeader/>
          <w:jc w:val="center"/>
        </w:trPr>
        <w:tc>
          <w:tcPr>
            <w:tcW w:w="5000" w:type="pct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keepNext w:val="0"/>
            </w:pPr>
            <w:r>
              <w:t>Operating band / SCS / Channel bandwidth / 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>
            <w:pPr>
              <w:pStyle w:val="86"/>
              <w:keepNext w:val="0"/>
              <w:rPr>
                <w:rFonts w:eastAsia="MS Mincho"/>
              </w:rPr>
            </w:pPr>
            <w:r>
              <w:t>Operating Band</w:t>
            </w:r>
          </w:p>
        </w:tc>
        <w:tc>
          <w:tcPr>
            <w:tcW w:w="295" w:type="pct"/>
          </w:tcPr>
          <w:p>
            <w:pPr>
              <w:pStyle w:val="86"/>
              <w:keepNext w:val="0"/>
            </w:pPr>
            <w:r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6"/>
              <w:keepNext w:val="0"/>
            </w:pPr>
            <w:r>
              <w:t>5</w:t>
            </w:r>
          </w:p>
          <w:p>
            <w:pPr>
              <w:pStyle w:val="86"/>
              <w:keepNext w:val="0"/>
              <w:rPr>
                <w:rFonts w:eastAsia="MS Mincho"/>
              </w:rPr>
            </w:pPr>
            <w:r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6"/>
              <w:keepNext w:val="0"/>
            </w:pPr>
            <w:r>
              <w:t>10</w:t>
            </w:r>
          </w:p>
          <w:p>
            <w:pPr>
              <w:pStyle w:val="86"/>
              <w:keepNext w:val="0"/>
              <w:rPr>
                <w:rFonts w:eastAsia="MS Mincho"/>
              </w:rPr>
            </w:pPr>
            <w:r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6"/>
              <w:keepNext w:val="0"/>
            </w:pPr>
            <w:r>
              <w:t>15</w:t>
            </w:r>
          </w:p>
          <w:p>
            <w:pPr>
              <w:pStyle w:val="86"/>
              <w:keepNext w:val="0"/>
              <w:rPr>
                <w:rFonts w:eastAsia="MS Mincho"/>
              </w:rPr>
            </w:pPr>
            <w:r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6"/>
              <w:keepNext w:val="0"/>
            </w:pPr>
            <w:r>
              <w:t>20</w:t>
            </w:r>
          </w:p>
          <w:p>
            <w:pPr>
              <w:pStyle w:val="86"/>
              <w:keepNext w:val="0"/>
              <w:rPr>
                <w:rFonts w:eastAsia="MS Mincho"/>
              </w:rPr>
            </w:pPr>
            <w:r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6"/>
              <w:keepNext w:val="0"/>
              <w:rPr>
                <w:rFonts w:eastAsia="MS Mincho"/>
              </w:rPr>
            </w:pPr>
            <w:r>
              <w:t>25 MHz</w:t>
            </w:r>
          </w:p>
        </w:tc>
        <w:tc>
          <w:tcPr>
            <w:tcW w:w="294" w:type="pct"/>
            <w:vAlign w:val="center"/>
          </w:tcPr>
          <w:p>
            <w:pPr>
              <w:pStyle w:val="86"/>
              <w:keepNext w:val="0"/>
            </w:pPr>
            <w:r>
              <w:t>30 MHz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6"/>
              <w:keepNext w:val="0"/>
            </w:pPr>
            <w:r>
              <w:t>40</w:t>
            </w:r>
          </w:p>
          <w:p>
            <w:pPr>
              <w:pStyle w:val="86"/>
              <w:keepNext w:val="0"/>
              <w:rPr>
                <w:rFonts w:eastAsia="MS Mincho"/>
              </w:rPr>
            </w:pPr>
            <w:r>
              <w:t>MHz</w:t>
            </w:r>
          </w:p>
        </w:tc>
        <w:tc>
          <w:tcPr>
            <w:tcW w:w="309" w:type="pct"/>
            <w:vAlign w:val="center"/>
          </w:tcPr>
          <w:p>
            <w:pPr>
              <w:pStyle w:val="86"/>
              <w:keepNext w:val="0"/>
            </w:pPr>
            <w:r>
              <w:t>50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94" w:type="pct"/>
            <w:vAlign w:val="center"/>
          </w:tcPr>
          <w:p>
            <w:pPr>
              <w:pStyle w:val="86"/>
              <w:keepNext w:val="0"/>
            </w:pPr>
            <w:r>
              <w:t>60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360" w:type="pct"/>
            <w:vAlign w:val="center"/>
          </w:tcPr>
          <w:p>
            <w:pPr>
              <w:pStyle w:val="86"/>
              <w:keepNext w:val="0"/>
            </w:pPr>
            <w:r>
              <w:t>80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94" w:type="pct"/>
            <w:vAlign w:val="center"/>
          </w:tcPr>
          <w:p>
            <w:pPr>
              <w:pStyle w:val="86"/>
              <w:keepNext w:val="0"/>
            </w:pPr>
            <w:r>
              <w:t>90</w:t>
            </w:r>
          </w:p>
          <w:p>
            <w:pPr>
              <w:pStyle w:val="86"/>
              <w:keepNext w:val="0"/>
            </w:pPr>
            <w:r>
              <w:t>MHz</w:t>
            </w:r>
          </w:p>
        </w:tc>
        <w:tc>
          <w:tcPr>
            <w:tcW w:w="294" w:type="pct"/>
            <w:vAlign w:val="center"/>
          </w:tcPr>
          <w:p>
            <w:pPr>
              <w:pStyle w:val="86"/>
              <w:keepNext w:val="0"/>
            </w:pPr>
            <w:r>
              <w:t>100 MHz</w:t>
            </w:r>
          </w:p>
        </w:tc>
        <w:tc>
          <w:tcPr>
            <w:tcW w:w="411" w:type="pct"/>
            <w:shd w:val="clear" w:color="auto" w:fill="auto"/>
            <w:vAlign w:val="center"/>
          </w:tcPr>
          <w:p>
            <w:pPr>
              <w:pStyle w:val="86"/>
              <w:keepNext w:val="0"/>
              <w:rPr>
                <w:rFonts w:eastAsia="MS Mincho"/>
              </w:rPr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15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30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60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hint="eastAsia" w:cs="Arial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15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25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30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24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24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60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>
            <w:pPr>
              <w:pStyle w:val="87"/>
              <w:keepNext w:val="0"/>
              <w:rPr>
                <w:rFonts w:cs="Arial"/>
              </w:rPr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</w:rPr>
              <w:t>25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</w:rPr>
              <w:t>25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</w:rPr>
              <w:t>25</w:t>
            </w:r>
            <w:r>
              <w:rPr>
                <w:rFonts w:cs="Arial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n39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160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64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30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36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5</w:t>
            </w: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</w:pPr>
            <w: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t>160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64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t>162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</w:pPr>
            <w: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30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t>36</w:t>
            </w: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algun Gothic"/>
              </w:rPr>
            </w:pPr>
            <w:r>
              <w:rPr>
                <w:rFonts w:eastAsia="Malgun Gothic"/>
              </w:rPr>
              <w:t>50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  <w:r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n50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270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162</w:t>
            </w:r>
          </w:p>
        </w:tc>
        <w:tc>
          <w:tcPr>
            <w:tcW w:w="360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64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75</w:t>
            </w:r>
          </w:p>
        </w:tc>
        <w:tc>
          <w:tcPr>
            <w:tcW w:w="360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t>NOTE 3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lang w:eastAsia="zh-CN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rPr>
                <w:rFonts w:cs="Arial"/>
                <w:szCs w:val="18"/>
              </w:rPr>
              <w:t>NOTE 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n71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360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  <w:r>
              <w:t>10</w:t>
            </w:r>
            <w:r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294" w:type="pct"/>
          </w:tcPr>
          <w:p>
            <w:pPr>
              <w:pStyle w:val="87"/>
              <w:keepNext w:val="0"/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25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10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lang w:eastAsia="ja-JP"/>
              </w:rPr>
              <w:t>6</w:t>
            </w:r>
            <w:r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vMerge w:val="continue"/>
            <w:shd w:val="clear" w:color="auto" w:fill="auto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 w:cs="Arial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411" w:type="pct"/>
            <w:vMerge w:val="restar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27</w:t>
            </w:r>
            <w:r>
              <w:rPr>
                <w:lang w:eastAsia="zh-CN"/>
              </w:rPr>
              <w:t>0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36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  <w:tc>
          <w:tcPr>
            <w:tcW w:w="309" w:type="pct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309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>
            <w:pPr>
              <w:pStyle w:val="87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  <w:r>
              <w:rPr>
                <w:rFonts w:hint="eastAsia"/>
                <w:lang w:eastAsia="zh-CN"/>
              </w:rPr>
              <w:t>135</w:t>
            </w:r>
          </w:p>
        </w:tc>
        <w:tc>
          <w:tcPr>
            <w:tcW w:w="411" w:type="pct"/>
            <w:vMerge w:val="continue"/>
            <w:shd w:val="clear" w:color="auto" w:fill="auto"/>
            <w:vAlign w:val="center"/>
          </w:tcPr>
          <w:p>
            <w:pPr>
              <w:pStyle w:val="87"/>
              <w:keepNext w:val="0"/>
              <w:rPr>
                <w:rFonts w:eastAsia="MS Mincho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5000" w:type="pct"/>
            <w:gridSpan w:val="15"/>
          </w:tcPr>
          <w:p>
            <w:pPr>
              <w:pStyle w:val="100"/>
              <w:keepNext w:val="0"/>
            </w:pPr>
            <w:r>
              <w:t>NOTE 1:</w:t>
            </w:r>
            <w:r>
              <w:tab/>
            </w:r>
            <w:r>
              <w:t>UL resource blocks shall be located as close as possible to the downlink operating band but confined within the transmission bandwidth configuration for the channel bandwidth (Table 5.3.2-1).</w:t>
            </w:r>
          </w:p>
          <w:p>
            <w:pPr>
              <w:pStyle w:val="100"/>
              <w:keepNext w:val="0"/>
            </w:pPr>
            <w:r>
              <w:t>NOTE 2:</w:t>
            </w:r>
            <w:r>
              <w:tab/>
            </w:r>
            <w:r>
              <w:t xml:space="preserve">For </w:t>
            </w:r>
            <w:del w:id="0" w:author="ZTE, Li Lu" w:date="2024-01-31T14:09:54Z">
              <w:r>
                <w:rPr>
                  <w:rFonts w:hint="default"/>
                  <w:lang w:val="en-US"/>
                </w:rPr>
                <w:delText>B</w:delText>
              </w:r>
            </w:del>
            <w:ins w:id="1" w:author="ZTE, Li Lu" w:date="2024-01-31T14:09:54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r>
              <w:t xml:space="preserve">and </w:t>
            </w:r>
            <w:ins w:id="2" w:author="ZTE, Li Lu" w:date="2024-01-31T14:09:58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r>
              <w:t>20; for 15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11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16; for 30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6 and in the case of 20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8; for 60 kHz SCS, in the case of 15 MHz channel bandwidth, the UL resource blocks shall be located at RB</w:t>
            </w:r>
            <w:r>
              <w:rPr>
                <w:vertAlign w:val="subscript"/>
              </w:rPr>
              <w:t>start</w:t>
            </w:r>
            <w:r>
              <w:t xml:space="preserve"> 3 and in the case of 20 MHz channel bandwidth, the UL resource blocks shall be located at RBstart 4;</w:t>
            </w:r>
          </w:p>
          <w:p>
            <w:pPr>
              <w:pStyle w:val="100"/>
              <w:keepNext w:val="0"/>
            </w:pPr>
            <w:r>
              <w:t>NOTE 3:</w:t>
            </w:r>
            <w:r>
              <w:tab/>
            </w:r>
            <w:r>
              <w:t>For DL channel bandwidths that do not have symmetric UL channel bandwidth, highest valid UL configuration with lowest duplex distance shall be used.</w:t>
            </w: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BF90090"/>
    <w:rsid w:val="0C8C1A30"/>
    <w:rsid w:val="0CB72376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8C63A9"/>
    <w:rsid w:val="12C67771"/>
    <w:rsid w:val="147F65AC"/>
    <w:rsid w:val="15052B86"/>
    <w:rsid w:val="172D73B3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DD269EE"/>
    <w:rsid w:val="1E0066B2"/>
    <w:rsid w:val="1EBD213E"/>
    <w:rsid w:val="1ED81742"/>
    <w:rsid w:val="200A783E"/>
    <w:rsid w:val="212E037F"/>
    <w:rsid w:val="21E518D6"/>
    <w:rsid w:val="227D5EB4"/>
    <w:rsid w:val="22A142F3"/>
    <w:rsid w:val="2434039E"/>
    <w:rsid w:val="24794EE7"/>
    <w:rsid w:val="251875C6"/>
    <w:rsid w:val="252D6880"/>
    <w:rsid w:val="25386D4D"/>
    <w:rsid w:val="259E38A3"/>
    <w:rsid w:val="2646479D"/>
    <w:rsid w:val="276337B3"/>
    <w:rsid w:val="27FC0815"/>
    <w:rsid w:val="28075D61"/>
    <w:rsid w:val="2825114D"/>
    <w:rsid w:val="298511A6"/>
    <w:rsid w:val="29B30AFA"/>
    <w:rsid w:val="29FE60C6"/>
    <w:rsid w:val="2BFA4715"/>
    <w:rsid w:val="2E4A1EB5"/>
    <w:rsid w:val="2EC25694"/>
    <w:rsid w:val="2F040943"/>
    <w:rsid w:val="2F4F611C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58D7243"/>
    <w:rsid w:val="37020C27"/>
    <w:rsid w:val="37637BA1"/>
    <w:rsid w:val="395E4D26"/>
    <w:rsid w:val="39F9377E"/>
    <w:rsid w:val="3A9336E2"/>
    <w:rsid w:val="3B123C7A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7C21BE0"/>
    <w:rsid w:val="480F06C5"/>
    <w:rsid w:val="48294597"/>
    <w:rsid w:val="485119C3"/>
    <w:rsid w:val="48F85FE4"/>
    <w:rsid w:val="49642331"/>
    <w:rsid w:val="4A9B5DB4"/>
    <w:rsid w:val="4B881D28"/>
    <w:rsid w:val="4C152AB6"/>
    <w:rsid w:val="4C964689"/>
    <w:rsid w:val="4CB4658C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2FA3333"/>
    <w:rsid w:val="54074A92"/>
    <w:rsid w:val="54810444"/>
    <w:rsid w:val="54BE141D"/>
    <w:rsid w:val="552922AC"/>
    <w:rsid w:val="5653078F"/>
    <w:rsid w:val="56C01E84"/>
    <w:rsid w:val="584B5615"/>
    <w:rsid w:val="59841E47"/>
    <w:rsid w:val="5AAF4EBC"/>
    <w:rsid w:val="5B652CFD"/>
    <w:rsid w:val="5B7C71A8"/>
    <w:rsid w:val="5CA96450"/>
    <w:rsid w:val="5CEF65C4"/>
    <w:rsid w:val="5D812866"/>
    <w:rsid w:val="5E7D74BF"/>
    <w:rsid w:val="5EB42593"/>
    <w:rsid w:val="5F331B3A"/>
    <w:rsid w:val="5F34063D"/>
    <w:rsid w:val="5F4F1CBF"/>
    <w:rsid w:val="5F895A67"/>
    <w:rsid w:val="5FD77E3F"/>
    <w:rsid w:val="61A16BDF"/>
    <w:rsid w:val="61FB71F7"/>
    <w:rsid w:val="62DA5CD4"/>
    <w:rsid w:val="633F296E"/>
    <w:rsid w:val="65EB0027"/>
    <w:rsid w:val="66526256"/>
    <w:rsid w:val="66906931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0F47C49"/>
    <w:rsid w:val="71114EED"/>
    <w:rsid w:val="71780204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0A1D8A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E4C0678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7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2024-02-19T12:38:59Z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